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D" w:rsidRPr="00E5359D" w:rsidRDefault="00E5359D" w:rsidP="00E5359D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</w:pPr>
      <w:r w:rsidRPr="00E5359D"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  <w:t>Красоты Праги и Парижа</w:t>
      </w:r>
    </w:p>
    <w:p w:rsidR="00E5359D" w:rsidRPr="00E5359D" w:rsidRDefault="00E5359D" w:rsidP="00E535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Берлин – Брюссель – Париж (3 дня) – Диснейленд* – Прага</w:t>
      </w:r>
    </w:p>
    <w:p w:rsidR="00E5359D" w:rsidRPr="00E5359D" w:rsidRDefault="00E5359D" w:rsidP="00E535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Минск**/Брест</w:t>
      </w:r>
    </w:p>
    <w:p w:rsidR="00E5359D" w:rsidRPr="00E5359D" w:rsidRDefault="00E5359D" w:rsidP="00E535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(7 дней, 2 ночных переезда)</w:t>
      </w:r>
    </w:p>
    <w:p w:rsidR="00E5359D" w:rsidRPr="00E5359D" w:rsidRDefault="00E5359D" w:rsidP="00E5359D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i/>
          <w:iCs/>
          <w:color w:val="0065A5"/>
          <w:sz w:val="19"/>
          <w:szCs w:val="19"/>
          <w:lang w:eastAsia="ru-RU"/>
        </w:rPr>
      </w:pPr>
      <w:r w:rsidRPr="00E5359D">
        <w:rPr>
          <w:rFonts w:ascii="Trebuchet MS" w:eastAsia="Times New Roman" w:hAnsi="Trebuchet MS" w:cs="Times New Roman"/>
          <w:i/>
          <w:iCs/>
          <w:color w:val="0065A5"/>
          <w:sz w:val="19"/>
          <w:szCs w:val="19"/>
          <w:lang w:eastAsia="ru-RU"/>
        </w:rPr>
        <w:t>ПРОГРАММА ТУРА</w:t>
      </w:r>
    </w:p>
    <w:p w:rsidR="00E5359D" w:rsidRPr="00E5359D" w:rsidRDefault="00E5359D" w:rsidP="00E535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17"/>
          <w:szCs w:val="17"/>
          <w:lang w:eastAsia="ru-RU"/>
        </w:rPr>
        <w:drawing>
          <wp:inline distT="0" distB="0" distL="0" distR="0">
            <wp:extent cx="1905000" cy="2529840"/>
            <wp:effectExtent l="19050" t="0" r="0" b="0"/>
            <wp:docPr id="1" name="Рисунок 1" descr="http://www.bel-orientir.ru/images/stories/praha/prah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praha/praha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1 день</w:t>
      </w:r>
    </w:p>
    <w:p w:rsidR="00E5359D" w:rsidRPr="00E5359D" w:rsidRDefault="00E5359D" w:rsidP="00E5359D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Выезд из Минска (5:30)** / Бреста (ориентировочно в 10:30). Транзит по территории Польши. Переезд в ВАРШАВУ* (только для организованных 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групп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выезжающих из Бреста: пешеходная экскурсия по Старому городу с сопровождающим: замковая площадь, королевский замок, колонна Сигизмунда, старейший костел Варшавы – собор Святого Яна, костел Отцов иезуитов, Рыночная площадь, символ города – Русалочка, Барбакан...). Ночь 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отеле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2 день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Прибытие в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БЕРЛИН.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Обзорная экскурсия по столице Германии: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Александрплац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Музейный остров, главная улица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Унтер-ден-Линден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Берлинская стена, Рейхстаг, Бранденбургские ворота – символ города. Свободное время и возможность посетить музеи*, берлинский зоопарк*, аквариум*... Ночной перее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зд в Бр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юссель (~700 км).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3 день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Прибытие в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БРЮССЕЛЬ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Осмотр города с сопровождающим: кафедральный Собор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С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в. Михаила, Галерея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Юбера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самая красивая площадь Европы Гранд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Плас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: королевский дворец, ратуша, дворец герцогов Брабантских, дома гильдий, Манекен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Пис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 др. Отправление в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ПАРИЖ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(300 км). По прибытии пешеходная экскурсия по острову Сите и Латинскому кварталу с посещением собора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Нотр-Дам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. Прогулка по набережным 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Сите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дворец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Консьержери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площадь Дофина, Новый мост, мост Менял. Посещение парфюмерного магазина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Фрагонар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Для желающих подъем на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Эйфелеву башню*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и прогулка на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кораблике по Сене*.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Ночь в отеле в пригороде Парижа.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4 день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Обзорная автобусно-пешеходная экскурсия по Парижу: 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Триумфальная арка, Елисейские поля, площадь Согласия, собор св. Магдалены, Гранд Опера,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Вандомская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площадь, Латинский квартал, Пантеон, Сорбонна, Люксембургский сад, Дворец Инвалидов, мост Александра III, площадь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Трокадеро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Свободное время. Для желающих поездка в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Версаль*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 грандиозный дворцово-парковый комплекс. Возвращение в Париж. Экскурсия по холму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Монмартр*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и посещение самого знаменитого кабаре в мире «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Мулен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Руж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»*. Ночлег в пригороде Парижа.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5 день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noProof/>
          <w:color w:val="D52B1E"/>
          <w:sz w:val="17"/>
          <w:szCs w:val="17"/>
          <w:lang w:eastAsia="ru-RU"/>
        </w:rPr>
        <w:drawing>
          <wp:inline distT="0" distB="0" distL="0" distR="0">
            <wp:extent cx="2529840" cy="1905000"/>
            <wp:effectExtent l="19050" t="0" r="3810" b="0"/>
            <wp:docPr id="2" name="Рисунок 2" descr="http://www.bel-orientir.ru/images/stories/germany/berlin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germany/berlin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Выселение из отеля. Свободный день в Париже, посещение Лувра либо поездка в парк аттракционов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Диснейленд*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Ночной перее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зд в Пр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агу (~1050 км).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6 день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 прибытии в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ПРАГУ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пешеходная экскурсия по историческому центру: Пражский Град, Собор св. Вита, Карлов мост,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Староместская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площадь, городская ратуша,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Вацлавская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площадь... Свободное время. Для желающих прогулка на кораблике с ужином шведский стол по Влтаве*. Ночлег в транзитном отеле.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5"/>
          <w:lang w:eastAsia="ru-RU"/>
        </w:rPr>
        <w:t>7 день</w:t>
      </w:r>
    </w:p>
    <w:p w:rsidR="00E5359D" w:rsidRPr="00E5359D" w:rsidRDefault="00E5359D" w:rsidP="00E5359D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Транзит по территории Польши (~650 км). Прибытие в Брест поздно вечером. Переезд в Минск** (~340 км).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lastRenderedPageBreak/>
        <w:t>**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Для организованных групп возможен выезд из Минска и корректировка дня выезда, для детских групп действует формула 10+1.</w:t>
      </w:r>
    </w:p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Внимание!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*</w:t>
      </w:r>
      <w:r w:rsidRPr="00E5359D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ополнительные оплаты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</w: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**</w:t>
      </w: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уточняется дополнительно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2"/>
        <w:gridCol w:w="1623"/>
        <w:gridCol w:w="724"/>
        <w:gridCol w:w="6"/>
      </w:tblGrid>
      <w:tr w:rsidR="00E5359D" w:rsidRPr="00E5359D" w:rsidTr="00E5359D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30.04.2017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06.05.2017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06.05.2017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12.05.2017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04.06.2017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10.06.2017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09.07.2017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15.07.2017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06.08.2017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12.08.2017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17.09.2017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23.09.2017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08.10.2017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14.10.2017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29.10.2017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04.11.2017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17.12.2017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23.12.2017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28.12.2017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03.01.2017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03.01.2018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09.01.2018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25.03.2018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31.03.2018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29.04.2018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05.05.2018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59D" w:rsidRPr="00E5359D" w:rsidTr="00E5359D">
        <w:trPr>
          <w:trHeight w:val="12"/>
          <w:tblCellSpacing w:w="0" w:type="dxa"/>
        </w:trPr>
        <w:tc>
          <w:tcPr>
            <w:tcW w:w="0" w:type="auto"/>
            <w:gridSpan w:val="3"/>
            <w:tcBorders>
              <w:bottom w:val="single" w:sz="4" w:space="0" w:color="91D1FF"/>
            </w:tcBorders>
            <w:vAlign w:val="center"/>
            <w:hideMark/>
          </w:tcPr>
          <w:p w:rsidR="00E5359D" w:rsidRPr="00E5359D" w:rsidRDefault="00E5359D" w:rsidP="00E5359D">
            <w:pPr>
              <w:spacing w:after="0" w:line="12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5359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59D" w:rsidRPr="00E5359D" w:rsidRDefault="00E5359D" w:rsidP="00E5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359D" w:rsidRPr="00E5359D" w:rsidRDefault="00E5359D" w:rsidP="00E535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ВХОДИТ:</w:t>
      </w:r>
    </w:p>
    <w:p w:rsidR="00E5359D" w:rsidRPr="00E5359D" w:rsidRDefault="00E5359D" w:rsidP="00E53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проживание в отелях 2-3* в 2,3 - местных номерах со всеми удобствами (в сетевых отелях типа: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Ibis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Kyriad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Campanile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Balladins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 др.);</w:t>
      </w:r>
      <w:proofErr w:type="gramEnd"/>
    </w:p>
    <w:p w:rsidR="00E5359D" w:rsidRPr="00E5359D" w:rsidRDefault="00E5359D" w:rsidP="00E53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завтраки в отелях;</w:t>
      </w:r>
    </w:p>
    <w:p w:rsidR="00E5359D" w:rsidRPr="00E5359D" w:rsidRDefault="00E5359D" w:rsidP="00E53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экскурсии по программе;</w:t>
      </w:r>
    </w:p>
    <w:p w:rsidR="00E5359D" w:rsidRPr="00E5359D" w:rsidRDefault="00E5359D" w:rsidP="00E53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проезд в комфортабельном автобусе.</w:t>
      </w:r>
    </w:p>
    <w:p w:rsidR="00E5359D" w:rsidRPr="00E5359D" w:rsidRDefault="00E5359D" w:rsidP="00E535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НЕ ВХОДИТ:</w:t>
      </w:r>
    </w:p>
    <w:p w:rsidR="00E5359D" w:rsidRPr="00E5359D" w:rsidRDefault="00E5359D" w:rsidP="00E53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FF0000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FF0000"/>
          <w:sz w:val="17"/>
          <w:lang w:eastAsia="ru-RU"/>
        </w:rPr>
        <w:t>туристическая услуга - 90 белорусских рублей;</w:t>
      </w:r>
    </w:p>
    <w:p w:rsidR="00E5359D" w:rsidRPr="00E5359D" w:rsidRDefault="00E5359D" w:rsidP="00E53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виз</w:t>
      </w: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a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+страховка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;</w:t>
      </w:r>
    </w:p>
    <w:p w:rsidR="00E5359D" w:rsidRPr="00E5359D" w:rsidRDefault="00E5359D" w:rsidP="00E53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ж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/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билеты;</w:t>
      </w:r>
    </w:p>
    <w:p w:rsidR="00E5359D" w:rsidRPr="00E5359D" w:rsidRDefault="00E5359D" w:rsidP="00E53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налоги на размещение в городах, где это необходимо (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citi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);</w:t>
      </w:r>
    </w:p>
    <w:p w:rsidR="00E5359D" w:rsidRPr="00E5359D" w:rsidRDefault="00E5359D" w:rsidP="00E535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E5359D" w:rsidRPr="00E5359D" w:rsidRDefault="00E5359D" w:rsidP="00E535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ИНФОРМАЦИЯ ПО ДОПЛАТАМ:</w:t>
      </w:r>
    </w:p>
    <w:p w:rsidR="00E5359D" w:rsidRPr="00E5359D" w:rsidRDefault="00E5359D" w:rsidP="00E535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 некоторых городах, при размещении, с туристов взимается туристический сбор (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), его стоимость составляет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ок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1-4€ на чел. в сутки (оплата производится на стойке администрации отеля.</w:t>
      </w:r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Сопровождающий группы оповестит Вас о необходимости оплаты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proofErr w:type="gram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proofErr w:type="gram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если это будет необходимо.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одноместное размещение по туру – 80 €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кораблик по Сене – 14 €, до 12 лет – 7 €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поездка в Версаль – 30 € (проезд + входной билет +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аудиогид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), </w:t>
      </w:r>
      <w:r w:rsidRPr="00E5359D">
        <w:rPr>
          <w:rFonts w:ascii="Trebuchet MS" w:eastAsia="Times New Roman" w:hAnsi="Trebuchet MS" w:cs="Times New Roman"/>
          <w:color w:val="5D6D76"/>
          <w:sz w:val="15"/>
          <w:szCs w:val="15"/>
          <w:lang w:eastAsia="ru-RU"/>
        </w:rPr>
        <w:t>до 18 лет – 15 €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подъем на смотровую площадку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Монпарнас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– 15 € , до 15 лет – 9 € 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экскурсия «вечерний Монмартр» – 15 €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кораблик по Влтаве в Праге (с ужином шведский стол) – 27 € , до 18 лет – 22 €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Диснейленд – 80 €, до 11 лет – 70 €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входной билет в Лувр (без гида) – 15 €, до 18 лет – бесплатно 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ужины по программе – 100 € (для организованных групп)</w:t>
      </w:r>
    </w:p>
    <w:p w:rsidR="00E5359D" w:rsidRPr="00E5359D" w:rsidRDefault="00E5359D" w:rsidP="00E535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E5359D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0,80-2 € на человека в сутки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B82"/>
    <w:multiLevelType w:val="multilevel"/>
    <w:tmpl w:val="535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03620"/>
    <w:multiLevelType w:val="multilevel"/>
    <w:tmpl w:val="742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419"/>
    <w:multiLevelType w:val="multilevel"/>
    <w:tmpl w:val="49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5359D"/>
    <w:rsid w:val="003E4811"/>
    <w:rsid w:val="009E2A39"/>
    <w:rsid w:val="00A54CC8"/>
    <w:rsid w:val="00B2673F"/>
    <w:rsid w:val="00DF2A1D"/>
    <w:rsid w:val="00E5359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59D"/>
    <w:rPr>
      <w:b/>
      <w:bCs/>
    </w:rPr>
  </w:style>
  <w:style w:type="character" w:customStyle="1" w:styleId="apple-converted-space">
    <w:name w:val="apple-converted-space"/>
    <w:basedOn w:val="a0"/>
    <w:rsid w:val="00E5359D"/>
  </w:style>
  <w:style w:type="paragraph" w:customStyle="1" w:styleId="subheader">
    <w:name w:val="subheader"/>
    <w:basedOn w:val="a"/>
    <w:rsid w:val="00E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-orientir.ru/images/stories/germany/berlin_1_bi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2017-05-16T15:28:00Z</dcterms:created>
  <dcterms:modified xsi:type="dcterms:W3CDTF">2017-05-16T15:29:00Z</dcterms:modified>
</cp:coreProperties>
</file>