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C" w:rsidRPr="002A47CC" w:rsidRDefault="002A47CC" w:rsidP="002A47CC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</w:pPr>
      <w:r w:rsidRPr="002A47CC"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  <w:t>Швейцария-Италия</w:t>
      </w:r>
    </w:p>
    <w:p w:rsidR="002A47CC" w:rsidRPr="002A47CC" w:rsidRDefault="002A47CC" w:rsidP="002A47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gramStart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Дрезден – Рейнский водопад – Люцерн – </w:t>
      </w:r>
      <w:proofErr w:type="spellStart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Интерлакен</w:t>
      </w:r>
      <w:proofErr w:type="spellEnd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* – Берн – Женева – Женевское озеро – Турин – Милан – Мюнхен</w:t>
      </w:r>
      <w:proofErr w:type="gramEnd"/>
    </w:p>
    <w:p w:rsidR="002A47CC" w:rsidRPr="002A47CC" w:rsidRDefault="002A47CC" w:rsidP="002A47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(7 дней, 1 ночной переезд)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17"/>
          <w:szCs w:val="17"/>
          <w:lang w:eastAsia="ru-RU"/>
        </w:rPr>
        <w:drawing>
          <wp:inline distT="0" distB="0" distL="0" distR="0">
            <wp:extent cx="2667000" cy="1798320"/>
            <wp:effectExtent l="19050" t="0" r="0" b="0"/>
            <wp:docPr id="1" name="Рисунок 1" descr="luz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ze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1 день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Выезд из Минска в 05.00** / Бреста (ориентировочно в 10.30**). Переезд в Варшаву (~200 км). Прогулка по Варшаве с руководителем группы. Транзит по РП (~650 км). Позднее прибытие в отель. Ночлег в отеле на территории Польши.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2 день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Перее</w:t>
      </w:r>
      <w:proofErr w:type="gram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зд в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ДР</w:t>
      </w:r>
      <w:proofErr w:type="gramEnd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ЕЗДЕН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(~200 км) – столицу Саксонии, город искусства и старинной изысканной архитектуры, который называют Флоренцией на Эльбе. Обзорная пешеходная экскурсия по городу: опера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Земпера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Брюльская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терраса, придворная церковь, Театральная площадь, Цвингер и др. Свободное время для прогулок и посещения магазинов. Для желающих экскурсия в Дрезденскую картинную галерею с гидом* (не более 2 часов). Переезд на ночлег на территории Германии (~500 км).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17"/>
          <w:szCs w:val="17"/>
          <w:lang w:eastAsia="ru-RU"/>
        </w:rPr>
        <w:drawing>
          <wp:inline distT="0" distB="0" distL="0" distR="0">
            <wp:extent cx="2667000" cy="1783080"/>
            <wp:effectExtent l="19050" t="0" r="0" b="0"/>
            <wp:docPr id="2" name="Рисунок 2" descr="zheneva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eneva panora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3 день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 xml:space="preserve">Переезд </w:t>
      </w:r>
      <w:proofErr w:type="gram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</w:t>
      </w:r>
      <w:proofErr w:type="gramEnd"/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proofErr w:type="gramStart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ЛЮЦЕРН</w:t>
      </w:r>
      <w:proofErr w:type="gramEnd"/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(~270 км) – древний швейцарский город, расположившийся на берегу горного озера у подножья знаменитой горы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Пилатус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название которой происходит от известного Понтия Пилата. По дороге остановка у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РЕЙНСКОГО ВОДОПАДА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- самого большого на территории материковой Европы. Его высота – 23 метра, а ширина достигает 150 метров. Обзорная экскурсия по Люцерну: "Умирающий лев",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Хофкирхе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мост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Капельбрюкке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– старейший деревянный мост Европы, площадь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Капельплац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с фонтаном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Фритши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Ратуша, площадь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Корнмаркт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площадь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Хиршенплац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площадь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Вайнмаркт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мост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Шпройербрюкке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крепостная стена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Музегмауер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церковь Иезуитов, Дворец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Риттера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(Здание кантонального правительства). Свободное время. Для желающих может быть организована прогулка на кораблике* по озеру</w:t>
      </w:r>
      <w:proofErr w:type="gram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Ч</w:t>
      </w:r>
      <w:proofErr w:type="gram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етырех Кантонов. Переезд в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БЕРН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(~100 км) – столицу Швейцарии. Обзорная экскурсия: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Беренграбен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(Медвежья яма), мост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Нидеггбрюкке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Нидеггкирхе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Ратуша,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Мюнстер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платформ, город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Мюнстер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музей-квартира Эйнштейна, башня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Цайтглокентурм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Корнхаус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фонтан «Пожиратель детей», Парламент,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Бундесплац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По дороге возможна прогулка по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ИНТЕРЛАКЕНУ*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– старейшему швейцарскому горному курорту с умопомрачительными пейзажами. Переезд в отель на территории Франции (~190 км).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4 день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Переезд в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ЖЕНЕВУ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(~20 км). Экскурсия по городу: набережная Женевского озера, Женевский рейд с фонтаном, Новая площадь, Бастионный променад, памятник реформации, площадь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Бург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де Фур, собор</w:t>
      </w:r>
      <w:proofErr w:type="gram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С</w:t>
      </w:r>
      <w:proofErr w:type="gram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в. Петра, ратуша, Гранд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Рю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 др. Свободное время. Экскурсия по городам </w:t>
      </w:r>
      <w:proofErr w:type="gram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Женевской</w:t>
      </w:r>
      <w:proofErr w:type="gram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ривьеры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(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Лозанна, </w:t>
      </w:r>
      <w:proofErr w:type="spellStart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Веве</w:t>
      </w:r>
      <w:proofErr w:type="spellEnd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, </w:t>
      </w:r>
      <w:proofErr w:type="spellStart"/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Монтре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). Переезд в отель на территории Италии (~300 км).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17"/>
          <w:szCs w:val="17"/>
          <w:lang w:eastAsia="ru-RU"/>
        </w:rPr>
        <w:lastRenderedPageBreak/>
        <w:drawing>
          <wp:inline distT="0" distB="0" distL="0" distR="0">
            <wp:extent cx="2667000" cy="1783080"/>
            <wp:effectExtent l="19050" t="0" r="0" b="0"/>
            <wp:docPr id="3" name="Рисунок 3" descr="mil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a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5 день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Переезд в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ТУРИН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(~20 км) – один из самых старых итальянских городов, некогда первая столица объединенной Италии, а ныне главный город региона Пьемонт, центр паломничества христиан всего мира, ведь именно здесь в Кафедральном Соборе Иоанна Крестителя находится религиозная святыня — Туринская плащаница. Столица Зимних Олимпийских игр 2006, столица шоколада, город, подаривший миру вермут, мартини, кофе «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Lavazza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», конфеты «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Рафаэлло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» и знаменитое итальянское ризотто. Экскурсия по городу. Свободное время. Переезд в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МИЛАН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(~160 км). Несмотря на то, что сегодня Милан – это суетливый мегаполис, столица моды и город одноименного футбольного клуба, здесь также можно найти следы былого могущества Миланского герцогства, которое управлялось </w:t>
      </w:r>
      <w:proofErr w:type="gram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сперва</w:t>
      </w:r>
      <w:proofErr w:type="gram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династией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Висконти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а затем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Сфорца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Экскурсия по городу. Переезд на ночлег в итальянских Доломитовых Альпах (~220 км).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6 день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Переезд (~280 км) в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МЮНХЕН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– столицу Баварии. Пикник. Обзорная экскурсия: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Мариенплац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Ратуша, собор св. Михаила, национальный театр, пивная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Хофборйхаус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и многое другое. Свободное время (~7 часов).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u w:val="single"/>
          <w:lang w:eastAsia="ru-RU"/>
        </w:rPr>
        <w:t>Ночной переезд в Минск (~1500 км).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7 день</w:t>
      </w:r>
      <w:r w:rsidRPr="002A47CC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Транзит (~650 км) по территории Польши. Прохождение границы. Прибытие в Минск ночью либо утром следующего дня.</w:t>
      </w:r>
    </w:p>
    <w:p w:rsidR="002A47CC" w:rsidRPr="002A47CC" w:rsidRDefault="002A47CC" w:rsidP="002A47CC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* дополнительные оплаты ** уточняется дополнительно</w:t>
      </w:r>
    </w:p>
    <w:p w:rsidR="002A47CC" w:rsidRPr="002A47CC" w:rsidRDefault="002A47CC" w:rsidP="002A47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2"/>
        <w:gridCol w:w="1623"/>
        <w:gridCol w:w="724"/>
        <w:gridCol w:w="6"/>
      </w:tblGrid>
      <w:tr w:rsidR="002A47CC" w:rsidRPr="002A47CC" w:rsidTr="002A47CC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19.03.2017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25.03.2017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26.03.2017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01.04.2017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30.04.2017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06.05.2017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06.05.2017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12.05.2017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10.06.2017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16.06.2017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07.07.2017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05.08.2017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11.08.2017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23.09.2017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29.09.2017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04.11.2017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10.11.2017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03.01.2018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09.01.2018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25.03.2018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31.03.2018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350 €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7CC" w:rsidRPr="002A47CC" w:rsidTr="002A47CC">
        <w:trPr>
          <w:trHeight w:val="12"/>
          <w:tblCellSpacing w:w="0" w:type="dxa"/>
        </w:trPr>
        <w:tc>
          <w:tcPr>
            <w:tcW w:w="0" w:type="auto"/>
            <w:gridSpan w:val="3"/>
            <w:tcBorders>
              <w:bottom w:val="single" w:sz="4" w:space="0" w:color="91D1FF"/>
            </w:tcBorders>
            <w:vAlign w:val="center"/>
            <w:hideMark/>
          </w:tcPr>
          <w:p w:rsidR="002A47CC" w:rsidRPr="002A47CC" w:rsidRDefault="002A47CC" w:rsidP="002A47CC">
            <w:pPr>
              <w:spacing w:after="0" w:line="12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A47CC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7CC" w:rsidRPr="002A47CC" w:rsidRDefault="002A47CC" w:rsidP="002A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Для организованных детских групп действует формула: 10+1 бесплатно.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ВХОДИТ:</w:t>
      </w:r>
    </w:p>
    <w:p w:rsidR="002A47CC" w:rsidRPr="002A47CC" w:rsidRDefault="002A47CC" w:rsidP="002A4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проезд комфортабельным автобусом;</w:t>
      </w:r>
    </w:p>
    <w:p w:rsidR="002A47CC" w:rsidRPr="002A47CC" w:rsidRDefault="002A47CC" w:rsidP="002A4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размещение в отелях 2-3* в 2-3 местных номерах с удобствами;</w:t>
      </w:r>
    </w:p>
    <w:p w:rsidR="002A47CC" w:rsidRPr="002A47CC" w:rsidRDefault="002A47CC" w:rsidP="002A4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завтраки в отелях по программе;</w:t>
      </w:r>
    </w:p>
    <w:p w:rsidR="002A47CC" w:rsidRPr="002A47CC" w:rsidRDefault="002A47CC" w:rsidP="002A47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обзорные экскурсии и посещение городов согласно программе.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НЕ ВХОДИТ:</w:t>
      </w:r>
    </w:p>
    <w:p w:rsidR="002A47CC" w:rsidRPr="002A47CC" w:rsidRDefault="002A47CC" w:rsidP="002A4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FF0000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FF0000"/>
          <w:sz w:val="17"/>
          <w:lang w:eastAsia="ru-RU"/>
        </w:rPr>
        <w:t>туристическая услуга - 90 белорусских рублей;</w:t>
      </w:r>
    </w:p>
    <w:p w:rsidR="002A47CC" w:rsidRPr="002A47CC" w:rsidRDefault="002A47CC" w:rsidP="002A4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виза, медицинская страховка;</w:t>
      </w:r>
    </w:p>
    <w:p w:rsidR="002A47CC" w:rsidRPr="002A47CC" w:rsidRDefault="002A47CC" w:rsidP="002A4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налоги на проживание в городах (самостоятельно по прибытии в отель);</w:t>
      </w:r>
    </w:p>
    <w:p w:rsidR="002A47CC" w:rsidRPr="002A47CC" w:rsidRDefault="002A47CC" w:rsidP="002A4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билеты на городской транспорт;</w:t>
      </w:r>
    </w:p>
    <w:p w:rsidR="002A47CC" w:rsidRPr="002A47CC" w:rsidRDefault="002A47CC" w:rsidP="002A4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входные билеты и гиды в музеях;</w:t>
      </w:r>
    </w:p>
    <w:p w:rsidR="002A47CC" w:rsidRPr="002A47CC" w:rsidRDefault="002A47CC" w:rsidP="002A47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lastRenderedPageBreak/>
        <w:t>другие виды размещения или питания, посещение объектов, не входящих в стоимость программы тура и др. доплаты.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ИНФОРМАЦИЯ ПО ДОПЛАТАМ:</w:t>
      </w:r>
    </w:p>
    <w:p w:rsidR="002A47CC" w:rsidRPr="002A47CC" w:rsidRDefault="002A47CC" w:rsidP="002A47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одноместное размещение – 120 €</w:t>
      </w:r>
    </w:p>
    <w:p w:rsidR="002A47CC" w:rsidRPr="002A47CC" w:rsidRDefault="002A47CC" w:rsidP="002A47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наушники – 15 €</w:t>
      </w:r>
    </w:p>
    <w:p w:rsidR="002A47CC" w:rsidRPr="002A47CC" w:rsidRDefault="002A47CC" w:rsidP="002A47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1-4 € на человека в сутки (в некоторых городах)</w:t>
      </w:r>
    </w:p>
    <w:p w:rsidR="002A47CC" w:rsidRPr="002A47CC" w:rsidRDefault="002A47CC" w:rsidP="002A47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экскурсия в Дрезденскую картинную галерею - 25 € (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взр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), 15 € (дети)</w:t>
      </w:r>
    </w:p>
    <w:p w:rsidR="002A47CC" w:rsidRPr="002A47CC" w:rsidRDefault="002A47CC" w:rsidP="002A47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прогулка на кораблике по озеру в Люцерне - от 24 €</w:t>
      </w:r>
    </w:p>
    <w:p w:rsidR="002A47CC" w:rsidRPr="002A47CC" w:rsidRDefault="002A47CC" w:rsidP="002A47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поездка в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Интерлакен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- 10 €</w:t>
      </w:r>
    </w:p>
    <w:p w:rsidR="002A47CC" w:rsidRPr="002A47CC" w:rsidRDefault="002A47CC" w:rsidP="002A47C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b/>
          <w:bCs/>
          <w:color w:val="FF0000"/>
          <w:sz w:val="17"/>
          <w:lang w:eastAsia="ru-RU"/>
        </w:rPr>
        <w:t>Внимание!</w:t>
      </w:r>
    </w:p>
    <w:p w:rsidR="002A47CC" w:rsidRPr="002A47CC" w:rsidRDefault="002A47CC" w:rsidP="002A47CC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 некоторых городах, при размещении, с туристов взимается обязательный туристический сбор (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city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</w:t>
      </w:r>
      <w:proofErr w:type="spellStart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tax</w:t>
      </w:r>
      <w:proofErr w:type="spellEnd"/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</w:t>
      </w:r>
    </w:p>
    <w:p w:rsidR="002A47CC" w:rsidRPr="002A47CC" w:rsidRDefault="002A47CC" w:rsidP="002A47CC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2A47CC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25 человек, кроме объектов обозначенных как «посещения при полной группе». Стоимость билетов может меняться. В случае значительного повышения цен на топливо компания оставляет за собой право ввести топливный сбор.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CB2"/>
    <w:multiLevelType w:val="multilevel"/>
    <w:tmpl w:val="A5B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00485"/>
    <w:multiLevelType w:val="multilevel"/>
    <w:tmpl w:val="17D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43995"/>
    <w:multiLevelType w:val="multilevel"/>
    <w:tmpl w:val="B6C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A47CC"/>
    <w:rsid w:val="002A47CC"/>
    <w:rsid w:val="003E481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7CC"/>
    <w:rPr>
      <w:b/>
      <w:bCs/>
    </w:rPr>
  </w:style>
  <w:style w:type="character" w:customStyle="1" w:styleId="apple-converted-space">
    <w:name w:val="apple-converted-space"/>
    <w:basedOn w:val="a0"/>
    <w:rsid w:val="002A47CC"/>
  </w:style>
  <w:style w:type="paragraph" w:customStyle="1" w:styleId="colored">
    <w:name w:val="colored"/>
    <w:basedOn w:val="a"/>
    <w:rsid w:val="002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2017-05-16T16:08:00Z</dcterms:created>
  <dcterms:modified xsi:type="dcterms:W3CDTF">2017-05-16T16:08:00Z</dcterms:modified>
</cp:coreProperties>
</file>