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BC" w:rsidRPr="00374CBC" w:rsidRDefault="00374CBC" w:rsidP="00374CBC">
      <w:pPr>
        <w:autoSpaceDE/>
        <w:spacing w:before="180" w:after="100" w:afterAutospacing="1"/>
        <w:jc w:val="center"/>
        <w:outlineLvl w:val="1"/>
        <w:rPr>
          <w:rFonts w:ascii="Tahoma" w:hAnsi="Tahoma" w:cs="Tahoma"/>
          <w:color w:val="000000"/>
          <w:sz w:val="36"/>
          <w:szCs w:val="42"/>
        </w:rPr>
      </w:pPr>
      <w:r w:rsidRPr="00374CBC">
        <w:rPr>
          <w:rFonts w:ascii="Tahoma" w:hAnsi="Tahoma" w:cs="Tahoma"/>
          <w:color w:val="000000"/>
          <w:sz w:val="36"/>
          <w:szCs w:val="42"/>
        </w:rPr>
        <w:t>Мечты королей</w:t>
      </w:r>
    </w:p>
    <w:p w:rsidR="00374CBC" w:rsidRPr="00374CBC" w:rsidRDefault="00374CBC" w:rsidP="00272C9E">
      <w:pPr>
        <w:autoSpaceDE/>
        <w:spacing w:before="100" w:beforeAutospacing="1" w:after="100" w:afterAutospacing="1"/>
        <w:jc w:val="center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Маршрут</w:t>
      </w:r>
      <w:r w:rsidRPr="00374CBC">
        <w:rPr>
          <w:rFonts w:ascii="Tahoma" w:hAnsi="Tahoma" w:cs="Tahoma"/>
          <w:color w:val="2E2E2F"/>
          <w:sz w:val="16"/>
        </w:rPr>
        <w:t xml:space="preserve">: Барселона - Валенсия - Мадрид - Толедо - Сарагоса - </w:t>
      </w:r>
      <w:proofErr w:type="spellStart"/>
      <w:r w:rsidRPr="00374CBC">
        <w:rPr>
          <w:rFonts w:ascii="Tahoma" w:hAnsi="Tahoma" w:cs="Tahoma"/>
          <w:color w:val="2E2E2F"/>
          <w:sz w:val="16"/>
        </w:rPr>
        <w:t>Фигейрос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- </w:t>
      </w:r>
      <w:proofErr w:type="spellStart"/>
      <w:r w:rsidRPr="00374CBC">
        <w:rPr>
          <w:rFonts w:ascii="Tahoma" w:hAnsi="Tahoma" w:cs="Tahoma"/>
          <w:color w:val="2E2E2F"/>
          <w:sz w:val="16"/>
        </w:rPr>
        <w:t>Жирона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- Барселона</w:t>
      </w:r>
    </w:p>
    <w:p w:rsidR="00374CBC" w:rsidRPr="00374CBC" w:rsidRDefault="00374CBC" w:rsidP="00272C9E">
      <w:pPr>
        <w:autoSpaceDE/>
        <w:spacing w:before="100" w:beforeAutospacing="1" w:after="100" w:afterAutospacing="1"/>
        <w:jc w:val="center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Заезды</w:t>
      </w:r>
      <w:r w:rsidRPr="00374CBC">
        <w:rPr>
          <w:rFonts w:ascii="Tahoma" w:hAnsi="Tahoma" w:cs="Tahoma"/>
          <w:color w:val="2E2E2F"/>
          <w:sz w:val="16"/>
        </w:rPr>
        <w:t>: по субботам. 8 дней / 7 ночей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Программа тура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1 день</w:t>
      </w:r>
      <w:r w:rsidRPr="00374CBC">
        <w:rPr>
          <w:rFonts w:ascii="Tahoma" w:hAnsi="Tahoma" w:cs="Tahoma"/>
          <w:color w:val="2E2E2F"/>
          <w:sz w:val="16"/>
        </w:rPr>
        <w:t xml:space="preserve"> Перелет Минск - Барселона. Прибытие в Барселону. Встреча в аэропорту с представителем принимающей компании. Трансфер в </w:t>
      </w:r>
      <w:proofErr w:type="spellStart"/>
      <w:r w:rsidRPr="00374CBC">
        <w:rPr>
          <w:rFonts w:ascii="Tahoma" w:hAnsi="Tahoma" w:cs="Tahoma"/>
          <w:color w:val="2E2E2F"/>
          <w:sz w:val="16"/>
        </w:rPr>
        <w:t>отель</w:t>
      </w:r>
      <w:proofErr w:type="gramStart"/>
      <w:r w:rsidRPr="00374CBC">
        <w:rPr>
          <w:rFonts w:ascii="Tahoma" w:hAnsi="Tahoma" w:cs="Tahoma"/>
          <w:color w:val="2E2E2F"/>
          <w:sz w:val="16"/>
        </w:rPr>
        <w:t>.Р</w:t>
      </w:r>
      <w:proofErr w:type="gramEnd"/>
      <w:r w:rsidRPr="00374CBC">
        <w:rPr>
          <w:rFonts w:ascii="Tahoma" w:hAnsi="Tahoma" w:cs="Tahoma"/>
          <w:color w:val="2E2E2F"/>
          <w:sz w:val="16"/>
        </w:rPr>
        <w:t>азмещение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в отеле в Барселоне. Выезд на </w:t>
      </w:r>
      <w:r w:rsidRPr="00374CBC">
        <w:rPr>
          <w:rFonts w:ascii="Tahoma" w:hAnsi="Tahoma" w:cs="Tahoma"/>
          <w:color w:val="820211"/>
          <w:sz w:val="22"/>
          <w:szCs w:val="26"/>
        </w:rPr>
        <w:t>шоу «Поющие Фонтаны».</w:t>
      </w:r>
      <w:r w:rsidRPr="00374CBC">
        <w:rPr>
          <w:rFonts w:ascii="Tahoma" w:hAnsi="Tahoma" w:cs="Tahoma"/>
          <w:color w:val="2E2E2F"/>
          <w:sz w:val="16"/>
        </w:rPr>
        <w:t xml:space="preserve"> 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2 день</w:t>
      </w:r>
      <w:r w:rsidRPr="00374CBC">
        <w:rPr>
          <w:rFonts w:ascii="Tahoma" w:hAnsi="Tahoma" w:cs="Tahoma"/>
          <w:color w:val="2E2E2F"/>
          <w:sz w:val="16"/>
        </w:rPr>
        <w:t> Завтрак. </w:t>
      </w:r>
      <w:r w:rsidRPr="00374CBC">
        <w:rPr>
          <w:rFonts w:ascii="Tahoma" w:hAnsi="Tahoma" w:cs="Tahoma"/>
          <w:color w:val="820211"/>
          <w:sz w:val="22"/>
          <w:szCs w:val="26"/>
        </w:rPr>
        <w:t>Обзорная экскурсия по Барселоне</w:t>
      </w:r>
      <w:r w:rsidRPr="00374CBC">
        <w:rPr>
          <w:rFonts w:ascii="Tahoma" w:hAnsi="Tahoma" w:cs="Tahoma"/>
          <w:color w:val="2E2E2F"/>
          <w:sz w:val="16"/>
        </w:rPr>
        <w:t xml:space="preserve">  - Парк </w:t>
      </w:r>
      <w:proofErr w:type="spellStart"/>
      <w:r w:rsidRPr="00374CBC">
        <w:rPr>
          <w:rFonts w:ascii="Tahoma" w:hAnsi="Tahoma" w:cs="Tahoma"/>
          <w:color w:val="2E2E2F"/>
          <w:sz w:val="16"/>
        </w:rPr>
        <w:t>Гуэль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, </w:t>
      </w:r>
      <w:proofErr w:type="spellStart"/>
      <w:r w:rsidRPr="00374CBC">
        <w:rPr>
          <w:rFonts w:ascii="Tahoma" w:hAnsi="Tahoma" w:cs="Tahoma"/>
          <w:color w:val="2E2E2F"/>
          <w:sz w:val="16"/>
        </w:rPr>
        <w:t>Саграда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Фамилия,  </w:t>
      </w:r>
      <w:proofErr w:type="spellStart"/>
      <w:r w:rsidRPr="00374CBC">
        <w:rPr>
          <w:rFonts w:ascii="Tahoma" w:hAnsi="Tahoma" w:cs="Tahoma"/>
          <w:color w:val="2E2E2F"/>
          <w:sz w:val="16"/>
        </w:rPr>
        <w:t>Пасео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де </w:t>
      </w:r>
      <w:proofErr w:type="spellStart"/>
      <w:r w:rsidRPr="00374CBC">
        <w:rPr>
          <w:rFonts w:ascii="Tahoma" w:hAnsi="Tahoma" w:cs="Tahoma"/>
          <w:color w:val="2E2E2F"/>
          <w:sz w:val="16"/>
        </w:rPr>
        <w:t>Грасиа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, Арагон, Дом Мила, Дом </w:t>
      </w:r>
      <w:proofErr w:type="spellStart"/>
      <w:r w:rsidRPr="00374CBC">
        <w:rPr>
          <w:rFonts w:ascii="Tahoma" w:hAnsi="Tahoma" w:cs="Tahoma"/>
          <w:color w:val="2E2E2F"/>
          <w:sz w:val="16"/>
        </w:rPr>
        <w:t>Батъё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, гора </w:t>
      </w:r>
      <w:proofErr w:type="spellStart"/>
      <w:r w:rsidRPr="00374CBC">
        <w:rPr>
          <w:rFonts w:ascii="Tahoma" w:hAnsi="Tahoma" w:cs="Tahoma"/>
          <w:color w:val="2E2E2F"/>
          <w:sz w:val="16"/>
        </w:rPr>
        <w:t>Монтжуик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. Выезд в Валенсию. Размещение в отеле. 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3 день </w:t>
      </w:r>
      <w:r w:rsidRPr="00374CBC">
        <w:rPr>
          <w:rFonts w:ascii="Tahoma" w:hAnsi="Tahoma" w:cs="Tahoma"/>
          <w:color w:val="2E2E2F"/>
          <w:sz w:val="16"/>
        </w:rPr>
        <w:t>Завтрак. </w:t>
      </w:r>
      <w:r w:rsidRPr="00374CBC">
        <w:rPr>
          <w:rFonts w:ascii="Tahoma" w:hAnsi="Tahoma" w:cs="Tahoma"/>
          <w:color w:val="820211"/>
          <w:sz w:val="22"/>
          <w:szCs w:val="26"/>
        </w:rPr>
        <w:t>Обзорная экскурсия по Валенсии</w:t>
      </w:r>
      <w:r w:rsidRPr="00374CBC">
        <w:rPr>
          <w:rFonts w:ascii="Tahoma" w:hAnsi="Tahoma" w:cs="Tahoma"/>
          <w:color w:val="2E2E2F"/>
          <w:sz w:val="16"/>
        </w:rPr>
        <w:t xml:space="preserve"> - Старый город,  Кафедральный Собор, осмотр Города Наук и Искусств. Выезд в Мадрид. Размещение в отеле. Ужин. По желанию – автобусная </w:t>
      </w:r>
      <w:proofErr w:type="spellStart"/>
      <w:r w:rsidRPr="00374CBC">
        <w:rPr>
          <w:rFonts w:ascii="Tahoma" w:hAnsi="Tahoma" w:cs="Tahoma"/>
          <w:color w:val="2E2E2F"/>
          <w:sz w:val="16"/>
        </w:rPr>
        <w:t>обзорнаяэкскурсия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</w:t>
      </w:r>
      <w:proofErr w:type="spellStart"/>
      <w:proofErr w:type="gramStart"/>
      <w:r w:rsidRPr="00374CBC">
        <w:rPr>
          <w:rFonts w:ascii="Tahoma" w:hAnsi="Tahoma" w:cs="Tahoma"/>
          <w:color w:val="2E2E2F"/>
          <w:sz w:val="16"/>
        </w:rPr>
        <w:t>пр</w:t>
      </w:r>
      <w:proofErr w:type="spellEnd"/>
      <w:proofErr w:type="gramEnd"/>
      <w:r w:rsidRPr="00374CBC">
        <w:rPr>
          <w:rFonts w:ascii="Tahoma" w:hAnsi="Tahoma" w:cs="Tahoma"/>
          <w:color w:val="2E2E2F"/>
          <w:sz w:val="16"/>
        </w:rPr>
        <w:t xml:space="preserve"> Мадриду (20 евро). 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4 день </w:t>
      </w:r>
      <w:r w:rsidRPr="00374CBC">
        <w:rPr>
          <w:rFonts w:ascii="Tahoma" w:hAnsi="Tahoma" w:cs="Tahoma"/>
          <w:color w:val="2E2E2F"/>
          <w:sz w:val="16"/>
        </w:rPr>
        <w:t>Завтрак. </w:t>
      </w:r>
      <w:r w:rsidRPr="00374CBC">
        <w:rPr>
          <w:rFonts w:ascii="Tahoma" w:hAnsi="Tahoma" w:cs="Tahoma"/>
          <w:color w:val="820211"/>
          <w:sz w:val="22"/>
          <w:szCs w:val="26"/>
        </w:rPr>
        <w:t>Пешеходная экскурсия по городу</w:t>
      </w:r>
      <w:r w:rsidRPr="00374CBC">
        <w:rPr>
          <w:rFonts w:ascii="Tahoma" w:hAnsi="Tahoma" w:cs="Tahoma"/>
          <w:color w:val="2E2E2F"/>
          <w:sz w:val="16"/>
        </w:rPr>
        <w:t> (</w:t>
      </w:r>
      <w:proofErr w:type="spellStart"/>
      <w:r w:rsidRPr="00374CBC">
        <w:rPr>
          <w:rFonts w:ascii="Tahoma" w:hAnsi="Tahoma" w:cs="Tahoma"/>
          <w:color w:val="2E2E2F"/>
          <w:sz w:val="16"/>
        </w:rPr>
        <w:t>пл</w:t>
      </w:r>
      <w:proofErr w:type="gramStart"/>
      <w:r w:rsidRPr="00374CBC">
        <w:rPr>
          <w:rFonts w:ascii="Tahoma" w:hAnsi="Tahoma" w:cs="Tahoma"/>
          <w:color w:val="2E2E2F"/>
          <w:sz w:val="16"/>
        </w:rPr>
        <w:t>.П</w:t>
      </w:r>
      <w:proofErr w:type="gramEnd"/>
      <w:r w:rsidRPr="00374CBC">
        <w:rPr>
          <w:rFonts w:ascii="Tahoma" w:hAnsi="Tahoma" w:cs="Tahoma"/>
          <w:color w:val="2E2E2F"/>
          <w:sz w:val="16"/>
        </w:rPr>
        <w:t>уэрта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</w:t>
      </w:r>
      <w:proofErr w:type="spellStart"/>
      <w:r w:rsidRPr="00374CBC">
        <w:rPr>
          <w:rFonts w:ascii="Tahoma" w:hAnsi="Tahoma" w:cs="Tahoma"/>
          <w:color w:val="2E2E2F"/>
          <w:sz w:val="16"/>
        </w:rPr>
        <w:t>дель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Соль, пл. Майор, старый город, собор </w:t>
      </w:r>
      <w:proofErr w:type="spellStart"/>
      <w:r w:rsidRPr="00374CBC">
        <w:rPr>
          <w:rFonts w:ascii="Tahoma" w:hAnsi="Tahoma" w:cs="Tahoma"/>
          <w:color w:val="2E2E2F"/>
          <w:sz w:val="16"/>
        </w:rPr>
        <w:t>Альмудена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, Королевский Дворец, </w:t>
      </w:r>
      <w:proofErr w:type="spellStart"/>
      <w:r w:rsidRPr="00374CBC">
        <w:rPr>
          <w:rFonts w:ascii="Tahoma" w:hAnsi="Tahoma" w:cs="Tahoma"/>
          <w:color w:val="2E2E2F"/>
          <w:sz w:val="16"/>
        </w:rPr>
        <w:t>пл.Испании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). По желанию - экскурсия </w:t>
      </w:r>
      <w:proofErr w:type="gramStart"/>
      <w:r w:rsidRPr="00374CBC">
        <w:rPr>
          <w:rFonts w:ascii="Tahoma" w:hAnsi="Tahoma" w:cs="Tahoma"/>
          <w:color w:val="2E2E2F"/>
          <w:sz w:val="16"/>
        </w:rPr>
        <w:t>во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дворец-монастырь Эль Эскориал (45 евро). 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5 день</w:t>
      </w:r>
      <w:r w:rsidRPr="00374CBC">
        <w:rPr>
          <w:rFonts w:ascii="Tahoma" w:hAnsi="Tahoma" w:cs="Tahoma"/>
          <w:color w:val="2E2E2F"/>
          <w:sz w:val="16"/>
        </w:rPr>
        <w:t> Завтрак. </w:t>
      </w:r>
      <w:r w:rsidRPr="00374CBC">
        <w:rPr>
          <w:rFonts w:ascii="Tahoma" w:hAnsi="Tahoma" w:cs="Tahoma"/>
          <w:color w:val="820211"/>
          <w:sz w:val="22"/>
          <w:szCs w:val="26"/>
        </w:rPr>
        <w:t>Музей Прадо</w:t>
      </w:r>
      <w:r w:rsidRPr="00374CBC">
        <w:rPr>
          <w:rFonts w:ascii="Tahoma" w:hAnsi="Tahoma" w:cs="Tahoma"/>
          <w:color w:val="2E2E2F"/>
          <w:sz w:val="16"/>
        </w:rPr>
        <w:t> – самостоятельный осмотр, билеты включены. </w:t>
      </w:r>
      <w:r w:rsidRPr="00374CBC">
        <w:rPr>
          <w:rFonts w:ascii="Tahoma" w:hAnsi="Tahoma" w:cs="Tahoma"/>
          <w:color w:val="820211"/>
          <w:sz w:val="22"/>
          <w:szCs w:val="26"/>
        </w:rPr>
        <w:t>Экскурсия в Толедо</w:t>
      </w:r>
      <w:r w:rsidRPr="00374CBC">
        <w:rPr>
          <w:rFonts w:ascii="Tahoma" w:hAnsi="Tahoma" w:cs="Tahoma"/>
          <w:color w:val="2E2E2F"/>
          <w:sz w:val="16"/>
        </w:rPr>
        <w:t xml:space="preserve"> - магазин-фабрика знаменитой </w:t>
      </w:r>
      <w:proofErr w:type="spellStart"/>
      <w:r w:rsidRPr="00374CBC">
        <w:rPr>
          <w:rFonts w:ascii="Tahoma" w:hAnsi="Tahoma" w:cs="Tahoma"/>
          <w:color w:val="2E2E2F"/>
          <w:sz w:val="16"/>
        </w:rPr>
        <w:t>толедской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стали, Кафедральный Собор, часовня Сан Томе (билеты включены). 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 По желанию – посещение шоу Фламенко (45 евро).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6 день</w:t>
      </w:r>
      <w:r w:rsidRPr="00374CBC">
        <w:rPr>
          <w:rFonts w:ascii="Tahoma" w:hAnsi="Tahoma" w:cs="Tahoma"/>
          <w:color w:val="2E2E2F"/>
          <w:sz w:val="16"/>
        </w:rPr>
        <w:t> Завтрак. </w:t>
      </w:r>
      <w:r w:rsidRPr="00374CBC">
        <w:rPr>
          <w:rFonts w:ascii="Tahoma" w:hAnsi="Tahoma" w:cs="Tahoma"/>
          <w:color w:val="820211"/>
          <w:sz w:val="22"/>
          <w:szCs w:val="26"/>
        </w:rPr>
        <w:t xml:space="preserve">Выезд в Сарагосу. Осмотр Собора Девы </w:t>
      </w:r>
      <w:proofErr w:type="spellStart"/>
      <w:r w:rsidRPr="00374CBC">
        <w:rPr>
          <w:rFonts w:ascii="Tahoma" w:hAnsi="Tahoma" w:cs="Tahoma"/>
          <w:color w:val="820211"/>
          <w:sz w:val="22"/>
          <w:szCs w:val="26"/>
        </w:rPr>
        <w:t>Пилар</w:t>
      </w:r>
      <w:proofErr w:type="spellEnd"/>
      <w:r w:rsidRPr="00374CBC">
        <w:rPr>
          <w:rFonts w:ascii="Tahoma" w:hAnsi="Tahoma" w:cs="Tahoma"/>
          <w:color w:val="820211"/>
          <w:sz w:val="22"/>
          <w:szCs w:val="26"/>
        </w:rPr>
        <w:t>. </w:t>
      </w:r>
      <w:r w:rsidRPr="00374CBC">
        <w:rPr>
          <w:rFonts w:ascii="Tahoma" w:hAnsi="Tahoma" w:cs="Tahoma"/>
          <w:color w:val="2E2E2F"/>
          <w:sz w:val="16"/>
        </w:rPr>
        <w:t xml:space="preserve">Выезд на </w:t>
      </w:r>
      <w:proofErr w:type="spellStart"/>
      <w:r w:rsidRPr="00374CBC">
        <w:rPr>
          <w:rFonts w:ascii="Tahoma" w:hAnsi="Tahoma" w:cs="Tahoma"/>
          <w:color w:val="2E2E2F"/>
          <w:sz w:val="16"/>
        </w:rPr>
        <w:t>Коста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 </w:t>
      </w:r>
      <w:proofErr w:type="spellStart"/>
      <w:r w:rsidRPr="00374CBC">
        <w:rPr>
          <w:rFonts w:ascii="Tahoma" w:hAnsi="Tahoma" w:cs="Tahoma"/>
          <w:color w:val="2E2E2F"/>
          <w:sz w:val="16"/>
        </w:rPr>
        <w:t>Браву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. Размещение в отеле. 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7 день</w:t>
      </w:r>
      <w:r w:rsidRPr="00374CBC">
        <w:rPr>
          <w:rFonts w:ascii="Tahoma" w:hAnsi="Tahoma" w:cs="Tahoma"/>
          <w:color w:val="2E2E2F"/>
          <w:sz w:val="16"/>
        </w:rPr>
        <w:t> Завтрак. </w:t>
      </w:r>
      <w:r w:rsidRPr="00374CBC">
        <w:rPr>
          <w:rFonts w:ascii="Tahoma" w:hAnsi="Tahoma" w:cs="Tahoma"/>
          <w:color w:val="820211"/>
          <w:sz w:val="22"/>
          <w:szCs w:val="26"/>
        </w:rPr>
        <w:t xml:space="preserve">Экскурсия в </w:t>
      </w:r>
      <w:proofErr w:type="spellStart"/>
      <w:r w:rsidRPr="00374CBC">
        <w:rPr>
          <w:rFonts w:ascii="Tahoma" w:hAnsi="Tahoma" w:cs="Tahoma"/>
          <w:color w:val="820211"/>
          <w:sz w:val="22"/>
          <w:szCs w:val="26"/>
        </w:rPr>
        <w:t>Фигейрос</w:t>
      </w:r>
      <w:proofErr w:type="spellEnd"/>
      <w:r w:rsidRPr="00374CBC">
        <w:rPr>
          <w:rFonts w:ascii="Tahoma" w:hAnsi="Tahoma" w:cs="Tahoma"/>
          <w:color w:val="2E2E2F"/>
          <w:sz w:val="16"/>
        </w:rPr>
        <w:t>, в </w:t>
      </w:r>
      <w:r w:rsidRPr="00374CBC">
        <w:rPr>
          <w:rFonts w:ascii="Tahoma" w:hAnsi="Tahoma" w:cs="Tahoma"/>
          <w:color w:val="820211"/>
          <w:sz w:val="22"/>
          <w:szCs w:val="26"/>
        </w:rPr>
        <w:t>театр-музей Сальвадора Дали</w:t>
      </w:r>
      <w:r w:rsidRPr="00374CBC">
        <w:rPr>
          <w:rFonts w:ascii="Tahoma" w:hAnsi="Tahoma" w:cs="Tahoma"/>
          <w:color w:val="2E2E2F"/>
          <w:sz w:val="16"/>
        </w:rPr>
        <w:t xml:space="preserve"> (входные билеты включены). После осмотра музея – свободное время для обеда и выезд в </w:t>
      </w:r>
      <w:proofErr w:type="spellStart"/>
      <w:r w:rsidRPr="00374CBC">
        <w:rPr>
          <w:rFonts w:ascii="Tahoma" w:hAnsi="Tahoma" w:cs="Tahoma"/>
          <w:color w:val="2E2E2F"/>
          <w:sz w:val="16"/>
        </w:rPr>
        <w:t>Жирону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  - Старый город, Кафедральный Собор (за доп. плату), Еврейский квартал, церковь Сан </w:t>
      </w:r>
      <w:proofErr w:type="spellStart"/>
      <w:r w:rsidRPr="00374CBC">
        <w:rPr>
          <w:rFonts w:ascii="Tahoma" w:hAnsi="Tahoma" w:cs="Tahoma"/>
          <w:color w:val="2E2E2F"/>
          <w:sz w:val="16"/>
        </w:rPr>
        <w:t>Фелиу</w:t>
      </w:r>
      <w:proofErr w:type="spellEnd"/>
      <w:r w:rsidRPr="00374CBC">
        <w:rPr>
          <w:rFonts w:ascii="Tahoma" w:hAnsi="Tahoma" w:cs="Tahoma"/>
          <w:color w:val="2E2E2F"/>
          <w:sz w:val="16"/>
        </w:rPr>
        <w:t xml:space="preserve">. Ужин для </w:t>
      </w:r>
      <w:proofErr w:type="gramStart"/>
      <w:r w:rsidRPr="00374CBC">
        <w:rPr>
          <w:rFonts w:ascii="Tahoma" w:hAnsi="Tahoma" w:cs="Tahoma"/>
          <w:color w:val="2E2E2F"/>
          <w:sz w:val="16"/>
        </w:rPr>
        <w:t>забронировавших</w:t>
      </w:r>
      <w:proofErr w:type="gramEnd"/>
      <w:r w:rsidRPr="00374CBC">
        <w:rPr>
          <w:rFonts w:ascii="Tahoma" w:hAnsi="Tahoma" w:cs="Tahoma"/>
          <w:color w:val="2E2E2F"/>
          <w:sz w:val="16"/>
        </w:rPr>
        <w:t xml:space="preserve"> и оплативших полупансион.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8 день</w:t>
      </w:r>
      <w:r w:rsidRPr="00374CBC">
        <w:rPr>
          <w:rFonts w:ascii="Tahoma" w:hAnsi="Tahoma" w:cs="Tahoma"/>
          <w:color w:val="2E2E2F"/>
          <w:sz w:val="16"/>
        </w:rPr>
        <w:t> Завтрак. Выезд в аэропорт Барселоны. Перелет Барселона - Минск.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В стоимость включено:</w:t>
      </w:r>
    </w:p>
    <w:p w:rsidR="00374CBC" w:rsidRPr="00374CBC" w:rsidRDefault="00374CBC" w:rsidP="00374CBC">
      <w:pPr>
        <w:pStyle w:val="ac"/>
        <w:numPr>
          <w:ilvl w:val="0"/>
          <w:numId w:val="18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перелет Минск - Барселона - Минск;</w:t>
      </w:r>
    </w:p>
    <w:p w:rsidR="00374CBC" w:rsidRPr="00374CBC" w:rsidRDefault="00374CBC" w:rsidP="00374CBC">
      <w:pPr>
        <w:pStyle w:val="ac"/>
        <w:numPr>
          <w:ilvl w:val="0"/>
          <w:numId w:val="18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все трансферы по маршруту тура;</w:t>
      </w:r>
    </w:p>
    <w:p w:rsidR="00374CBC" w:rsidRPr="00374CBC" w:rsidRDefault="00374CBC" w:rsidP="00374CBC">
      <w:pPr>
        <w:pStyle w:val="ac"/>
        <w:numPr>
          <w:ilvl w:val="0"/>
          <w:numId w:val="18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проживание в отелях 3* по маршруту;</w:t>
      </w:r>
    </w:p>
    <w:p w:rsidR="00374CBC" w:rsidRPr="00374CBC" w:rsidRDefault="00374CBC" w:rsidP="00374CBC">
      <w:pPr>
        <w:pStyle w:val="ac"/>
        <w:numPr>
          <w:ilvl w:val="0"/>
          <w:numId w:val="18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питание в отелях - завтрак или полупансион (завтрак и ужин, напитки за ужином за дополнительную плату);</w:t>
      </w:r>
    </w:p>
    <w:p w:rsidR="00374CBC" w:rsidRPr="00374CBC" w:rsidRDefault="00374CBC" w:rsidP="00374CBC">
      <w:pPr>
        <w:pStyle w:val="ac"/>
        <w:numPr>
          <w:ilvl w:val="0"/>
          <w:numId w:val="18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 xml:space="preserve">экскурсии </w:t>
      </w:r>
      <w:proofErr w:type="gramStart"/>
      <w:r w:rsidRPr="00374CBC">
        <w:rPr>
          <w:rFonts w:ascii="Tahoma" w:hAnsi="Tahoma" w:cs="Tahoma"/>
          <w:sz w:val="16"/>
        </w:rPr>
        <w:t>про</w:t>
      </w:r>
      <w:proofErr w:type="gramEnd"/>
      <w:r w:rsidRPr="00374CBC">
        <w:rPr>
          <w:rFonts w:ascii="Tahoma" w:hAnsi="Tahoma" w:cs="Tahoma"/>
          <w:sz w:val="16"/>
        </w:rPr>
        <w:t xml:space="preserve"> </w:t>
      </w:r>
      <w:proofErr w:type="gramStart"/>
      <w:r w:rsidRPr="00374CBC">
        <w:rPr>
          <w:rFonts w:ascii="Tahoma" w:hAnsi="Tahoma" w:cs="Tahoma"/>
          <w:sz w:val="16"/>
        </w:rPr>
        <w:t>маршруту</w:t>
      </w:r>
      <w:proofErr w:type="gramEnd"/>
      <w:r w:rsidRPr="00374CBC">
        <w:rPr>
          <w:rFonts w:ascii="Tahoma" w:hAnsi="Tahoma" w:cs="Tahoma"/>
          <w:sz w:val="16"/>
        </w:rPr>
        <w:t xml:space="preserve"> тура;</w:t>
      </w:r>
    </w:p>
    <w:p w:rsidR="00374CBC" w:rsidRPr="00374CBC" w:rsidRDefault="00374CBC" w:rsidP="00374CBC">
      <w:pPr>
        <w:pStyle w:val="ac"/>
        <w:numPr>
          <w:ilvl w:val="0"/>
          <w:numId w:val="18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медицинская страховка.</w:t>
      </w:r>
    </w:p>
    <w:p w:rsidR="00374CBC" w:rsidRPr="00374CBC" w:rsidRDefault="00374CBC" w:rsidP="00374CBC">
      <w:pPr>
        <w:autoSpaceDE/>
        <w:spacing w:before="100" w:beforeAutospacing="1" w:after="100" w:afterAutospacing="1"/>
        <w:jc w:val="both"/>
        <w:rPr>
          <w:rFonts w:ascii="Tahoma" w:hAnsi="Tahoma" w:cs="Tahoma"/>
          <w:color w:val="2E2E2F"/>
          <w:sz w:val="16"/>
        </w:rPr>
      </w:pPr>
      <w:r w:rsidRPr="00374CBC">
        <w:rPr>
          <w:rFonts w:ascii="Tahoma" w:hAnsi="Tahoma" w:cs="Tahoma"/>
          <w:color w:val="820211"/>
          <w:sz w:val="22"/>
          <w:szCs w:val="26"/>
        </w:rPr>
        <w:t>Дополнительно оплачивается:</w:t>
      </w:r>
    </w:p>
    <w:p w:rsidR="00374CBC" w:rsidRPr="00374CBC" w:rsidRDefault="00374CBC" w:rsidP="00374CBC">
      <w:pPr>
        <w:pStyle w:val="ac"/>
        <w:numPr>
          <w:ilvl w:val="0"/>
          <w:numId w:val="19"/>
        </w:numPr>
        <w:autoSpaceDE w:val="0"/>
        <w:autoSpaceDN w:val="0"/>
        <w:jc w:val="both"/>
        <w:rPr>
          <w:rFonts w:ascii="Tahoma" w:hAnsi="Tahoma" w:cs="Tahoma"/>
          <w:sz w:val="16"/>
        </w:rPr>
      </w:pPr>
      <w:bookmarkStart w:id="0" w:name="_GoBack"/>
      <w:r w:rsidRPr="00374CBC">
        <w:rPr>
          <w:rFonts w:ascii="Tahoma" w:hAnsi="Tahoma" w:cs="Tahoma"/>
          <w:sz w:val="16"/>
          <w:u w:val="single"/>
        </w:rPr>
        <w:t>виза в Испанию</w:t>
      </w:r>
      <w:r>
        <w:rPr>
          <w:rFonts w:ascii="Tahoma" w:hAnsi="Tahoma" w:cs="Tahoma"/>
          <w:sz w:val="16"/>
        </w:rPr>
        <w:t xml:space="preserve">: взрослый - </w:t>
      </w:r>
      <w:r w:rsidRPr="00374CBC">
        <w:rPr>
          <w:rFonts w:ascii="Tahoma" w:hAnsi="Tahoma" w:cs="Tahoma"/>
          <w:sz w:val="16"/>
        </w:rPr>
        <w:t>110</w:t>
      </w:r>
      <w:r>
        <w:rPr>
          <w:rFonts w:ascii="Tahoma" w:hAnsi="Tahoma" w:cs="Tahoma"/>
          <w:sz w:val="16"/>
        </w:rPr>
        <w:t xml:space="preserve"> евро, ребенок 6-12 лет - </w:t>
      </w:r>
      <w:r w:rsidRPr="00374CBC">
        <w:rPr>
          <w:rFonts w:ascii="Tahoma" w:hAnsi="Tahoma" w:cs="Tahoma"/>
          <w:sz w:val="16"/>
        </w:rPr>
        <w:t>85</w:t>
      </w:r>
      <w:r>
        <w:rPr>
          <w:rFonts w:ascii="Tahoma" w:hAnsi="Tahoma" w:cs="Tahoma"/>
          <w:sz w:val="16"/>
        </w:rPr>
        <w:t xml:space="preserve"> евро, ребенок 0-6 лет - </w:t>
      </w:r>
      <w:r w:rsidRPr="00374CBC">
        <w:rPr>
          <w:rFonts w:ascii="Tahoma" w:hAnsi="Tahoma" w:cs="Tahoma"/>
          <w:sz w:val="16"/>
        </w:rPr>
        <w:t>20 евро;</w:t>
      </w:r>
    </w:p>
    <w:p w:rsidR="00374CBC" w:rsidRPr="00374CBC" w:rsidRDefault="00374CBC" w:rsidP="00374CBC">
      <w:pPr>
        <w:pStyle w:val="ac"/>
        <w:numPr>
          <w:ilvl w:val="0"/>
          <w:numId w:val="19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максимальный сбор - 7 ночей);</w:t>
      </w:r>
    </w:p>
    <w:p w:rsidR="00374CBC" w:rsidRPr="00374CBC" w:rsidRDefault="00374CBC" w:rsidP="00374CBC">
      <w:pPr>
        <w:pStyle w:val="ac"/>
        <w:numPr>
          <w:ilvl w:val="0"/>
          <w:numId w:val="19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  <w:u w:val="single"/>
        </w:rPr>
        <w:t>страховка от невыезда</w:t>
      </w:r>
      <w:r w:rsidRPr="00374CBC">
        <w:rPr>
          <w:rFonts w:ascii="Tahoma" w:hAnsi="Tahoma" w:cs="Tahoma"/>
          <w:sz w:val="16"/>
        </w:rPr>
        <w:t> (по желанию);</w:t>
      </w:r>
    </w:p>
    <w:p w:rsidR="00374CBC" w:rsidRPr="00374CBC" w:rsidRDefault="00374CBC" w:rsidP="00374CBC">
      <w:pPr>
        <w:pStyle w:val="ac"/>
        <w:numPr>
          <w:ilvl w:val="0"/>
          <w:numId w:val="19"/>
        </w:numPr>
        <w:autoSpaceDE w:val="0"/>
        <w:autoSpaceDN w:val="0"/>
        <w:jc w:val="both"/>
        <w:rPr>
          <w:rFonts w:ascii="Tahoma" w:hAnsi="Tahoma" w:cs="Tahoma"/>
          <w:sz w:val="16"/>
        </w:rPr>
      </w:pPr>
      <w:r w:rsidRPr="00374CBC">
        <w:rPr>
          <w:rFonts w:ascii="Tahoma" w:hAnsi="Tahoma" w:cs="Tahoma"/>
          <w:sz w:val="16"/>
        </w:rPr>
        <w:t>дополнительные экскурсии, личные расходы.</w:t>
      </w:r>
    </w:p>
    <w:p w:rsidR="00374CBC" w:rsidRPr="00374CBC" w:rsidRDefault="00374CBC" w:rsidP="00374CBC">
      <w:pPr>
        <w:pStyle w:val="ac"/>
        <w:numPr>
          <w:ilvl w:val="0"/>
          <w:numId w:val="19"/>
        </w:numPr>
        <w:autoSpaceDE w:val="0"/>
        <w:autoSpaceDN w:val="0"/>
        <w:jc w:val="both"/>
        <w:rPr>
          <w:rFonts w:ascii="Tahoma" w:hAnsi="Tahoma" w:cs="Tahoma"/>
          <w:sz w:val="16"/>
          <w:szCs w:val="24"/>
        </w:rPr>
      </w:pPr>
      <w:r w:rsidRPr="00374CBC">
        <w:rPr>
          <w:rFonts w:ascii="Tahoma" w:hAnsi="Tahoma" w:cs="Tahoma"/>
          <w:sz w:val="16"/>
        </w:rPr>
        <w:t xml:space="preserve">туристический налог на 1 человека: отель 5* - 2,5 евро/сутки, отель 4* - 1 евро/сутки, отель 3* - 0,5 евро/сутки (оплачивается туристом при заселении в отель, не взимается с детей до 16 лет; </w:t>
      </w:r>
    </w:p>
    <w:bookmarkEnd w:id="0"/>
    <w:p w:rsidR="000976CA" w:rsidRPr="00374CBC" w:rsidRDefault="000976CA" w:rsidP="00374CBC">
      <w:pPr>
        <w:jc w:val="both"/>
        <w:rPr>
          <w:rFonts w:ascii="Tahoma" w:hAnsi="Tahoma" w:cs="Tahoma"/>
          <w:sz w:val="16"/>
        </w:rPr>
      </w:pPr>
    </w:p>
    <w:sectPr w:rsidR="000976CA" w:rsidRPr="00374CBC" w:rsidSect="00DA71AC">
      <w:headerReference w:type="default" r:id="rId9"/>
      <w:pgSz w:w="11906" w:h="16838"/>
      <w:pgMar w:top="709" w:right="566" w:bottom="426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3C" w:rsidRDefault="000B233C">
      <w:r>
        <w:separator/>
      </w:r>
    </w:p>
  </w:endnote>
  <w:endnote w:type="continuationSeparator" w:id="0">
    <w:p w:rsidR="000B233C" w:rsidRDefault="000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3C" w:rsidRDefault="000B233C">
      <w:r>
        <w:separator/>
      </w:r>
    </w:p>
  </w:footnote>
  <w:footnote w:type="continuationSeparator" w:id="0">
    <w:p w:rsidR="000B233C" w:rsidRDefault="000B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374CBC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A8C1036" wp14:editId="7A56C234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93074B" w:rsidRDefault="0093074B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7B4784" w:rsidRPr="005122C6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10"/>
              <w:szCs w:val="22"/>
            </w:rPr>
          </w:pP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93074B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7B4784" w:rsidRPr="007B4784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700D47"/>
    <w:multiLevelType w:val="hybridMultilevel"/>
    <w:tmpl w:val="E1E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E6495"/>
    <w:multiLevelType w:val="hybridMultilevel"/>
    <w:tmpl w:val="0D86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63802"/>
    <w:multiLevelType w:val="hybridMultilevel"/>
    <w:tmpl w:val="D0C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A45EE4"/>
    <w:multiLevelType w:val="hybridMultilevel"/>
    <w:tmpl w:val="55F0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4593E"/>
    <w:multiLevelType w:val="hybridMultilevel"/>
    <w:tmpl w:val="EA3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36FB4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B233C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6E9B"/>
    <w:rsid w:val="001B00DD"/>
    <w:rsid w:val="001B31A4"/>
    <w:rsid w:val="001B6E74"/>
    <w:rsid w:val="001C6B13"/>
    <w:rsid w:val="001F1414"/>
    <w:rsid w:val="00206B52"/>
    <w:rsid w:val="002213DC"/>
    <w:rsid w:val="00254B3E"/>
    <w:rsid w:val="0026105A"/>
    <w:rsid w:val="00262338"/>
    <w:rsid w:val="00272C9E"/>
    <w:rsid w:val="00277596"/>
    <w:rsid w:val="002904E8"/>
    <w:rsid w:val="002B7380"/>
    <w:rsid w:val="002D4648"/>
    <w:rsid w:val="002D7FE8"/>
    <w:rsid w:val="003179D7"/>
    <w:rsid w:val="00327A94"/>
    <w:rsid w:val="003309AD"/>
    <w:rsid w:val="00336DDF"/>
    <w:rsid w:val="00357A7A"/>
    <w:rsid w:val="003604C2"/>
    <w:rsid w:val="003611D0"/>
    <w:rsid w:val="003634D0"/>
    <w:rsid w:val="00374CBC"/>
    <w:rsid w:val="00375925"/>
    <w:rsid w:val="00380042"/>
    <w:rsid w:val="00381EEC"/>
    <w:rsid w:val="00394F6C"/>
    <w:rsid w:val="003B4D5E"/>
    <w:rsid w:val="003E0A0B"/>
    <w:rsid w:val="003E5315"/>
    <w:rsid w:val="00407248"/>
    <w:rsid w:val="00410B9C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F615F"/>
    <w:rsid w:val="00805F1D"/>
    <w:rsid w:val="00816A22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A15A02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8348E"/>
    <w:rsid w:val="00BC53A3"/>
    <w:rsid w:val="00BE36D8"/>
    <w:rsid w:val="00C135B2"/>
    <w:rsid w:val="00C14077"/>
    <w:rsid w:val="00C30233"/>
    <w:rsid w:val="00C354DD"/>
    <w:rsid w:val="00C44C1C"/>
    <w:rsid w:val="00C462B2"/>
    <w:rsid w:val="00C478DE"/>
    <w:rsid w:val="00C47989"/>
    <w:rsid w:val="00C5497A"/>
    <w:rsid w:val="00C651DF"/>
    <w:rsid w:val="00C8112E"/>
    <w:rsid w:val="00C9656F"/>
    <w:rsid w:val="00CC325B"/>
    <w:rsid w:val="00CC431B"/>
    <w:rsid w:val="00CF34A5"/>
    <w:rsid w:val="00CF4362"/>
    <w:rsid w:val="00CF4BB6"/>
    <w:rsid w:val="00D009C9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157B-B305-4442-A459-97BB6EB6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2015-11-11T13:48:00Z</cp:lastPrinted>
  <dcterms:created xsi:type="dcterms:W3CDTF">2015-12-10T08:36:00Z</dcterms:created>
  <dcterms:modified xsi:type="dcterms:W3CDTF">2015-12-10T08:36:00Z</dcterms:modified>
</cp:coreProperties>
</file>