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27" w:rsidRPr="00F74327" w:rsidRDefault="00F74327" w:rsidP="00F74327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ПРОГРАММА ТУРА</w:t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pacing w:val="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64A96E2" wp14:editId="768B047C">
            <wp:extent cx="1905000" cy="2533650"/>
            <wp:effectExtent l="0" t="0" r="0" b="0"/>
            <wp:docPr id="2" name="Рисунок 2" descr="http://www.bel-orientir.ru/images/stories/praha/prah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-orientir.ru/images/stories/praha/praha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bdr w:val="none" w:sz="0" w:space="0" w:color="auto" w:frame="1"/>
          <w:lang w:eastAsia="ru-RU"/>
        </w:rPr>
      </w:pP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1 день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bdr w:val="none" w:sz="0" w:space="0" w:color="auto" w:frame="1"/>
          <w:lang w:eastAsia="ru-RU"/>
        </w:rPr>
        <w:br/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Выезд из Минска** / Бреста. Транзит по территории Польши. Переезд в </w:t>
      </w: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ВАРШАВУ*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 (только для организованных </w:t>
      </w:r>
      <w:proofErr w:type="gram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групп</w:t>
      </w:r>
      <w:proofErr w:type="gram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 выезжающих из Бреста: пешеходная экскурсия по Старому городу с сопровождающим: замковая площадь, королевский замок, колонна Сигизмунда, старейший костел Варшавы – собор Святого Яна, костел Отцов иезуитов, Рыночная площадь, символ города – Русалочка, Барбакан…). Ночь в транзитном отеле.</w:t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bdr w:val="none" w:sz="0" w:space="0" w:color="auto" w:frame="1"/>
          <w:lang w:eastAsia="ru-RU"/>
        </w:rPr>
      </w:pP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2 день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bdr w:val="none" w:sz="0" w:space="0" w:color="auto" w:frame="1"/>
          <w:lang w:eastAsia="ru-RU"/>
        </w:rPr>
        <w:br/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Перее</w:t>
      </w:r>
      <w:proofErr w:type="gram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зд в </w:t>
      </w: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ПР</w:t>
      </w:r>
      <w:proofErr w:type="gramEnd"/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АГУ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 (~160 км). Пешеходная экскурсия по историческому центру Праги: Пражский Град, Собор св. Вита, Карлов мост, 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Староместская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 площадь, городская ратуша, 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Вацлавская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 площадь… Свободное время. Для желающих прогулка на кораблике с ужином шведский стол по Влтаве*, а также пешеходная экскурсия «Магическая Прага»*. Ночной переезд в Париж (~1000 км).</w:t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bdr w:val="none" w:sz="0" w:space="0" w:color="auto" w:frame="1"/>
          <w:lang w:eastAsia="ru-RU"/>
        </w:rPr>
      </w:pP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3 день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bdr w:val="none" w:sz="0" w:space="0" w:color="auto" w:frame="1"/>
          <w:lang w:eastAsia="ru-RU"/>
        </w:rPr>
        <w:br/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Прибытие в </w:t>
      </w: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ПАРИЖ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. Знакомство с городом – обзорная 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автобусно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-пешеходная экскурсия по Парижу: </w:t>
      </w:r>
      <w:proofErr w:type="gram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Триумфальная арка, Елисейские Поля, площадь Согласия, Большие Бульвары, собор св. Магдалены, Гранд Опера, 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Вандомская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 площадь, улица Мира, Дворец Юстиции, Святая Часовня, 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Консьержери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, Латинский Квартал, Пантеон, Сорбонна, Люксембургский сад, Дворец Инвалидов, мост Александра III, площадь 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Трокадеро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.</w:t>
      </w:r>
      <w:proofErr w:type="gram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 Посещение музея духов Фрагонар. Для желающих подъем на башню 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Монпарнас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* – обзор панорамы города с самого высокого офисного здания Парижа. Для желающих прогулка на кораблике по Сене* и подъем на II этаж Эйфелевой башни*.  Ночь в отеле в пригороде Парижа.</w:t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4 день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br/>
        <w:t>Пешеходная экскурсия по острову</w:t>
      </w: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 </w:t>
      </w:r>
      <w:proofErr w:type="gramStart"/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Сите</w:t>
      </w:r>
      <w:proofErr w:type="gram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 с посещением </w:t>
      </w: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 xml:space="preserve">собора </w:t>
      </w:r>
      <w:proofErr w:type="spellStart"/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Нотр</w:t>
      </w:r>
      <w:proofErr w:type="spellEnd"/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-Дам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. Прогулка по набережным </w:t>
      </w:r>
      <w:proofErr w:type="gram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Сите</w:t>
      </w:r>
      <w:proofErr w:type="gram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, дворец 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Консьержери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, площадь Дофина, Новый мост, мост Менял. Посещение </w:t>
      </w: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Лувра*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. Для желающих поездка в </w:t>
      </w: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Версаль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* – грандиозный дворцово-парковый комплекс. Возвращение в Париж. Прогулка по холму Монмартр. Вечером для желающих автобусная экскурсия «огни Парижа»*. После экскурсии предлагаем посещение самого знаменитого кабаре в мире «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Мулен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 Руж»*. Ночлег в пригороде Парижа.</w:t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bdr w:val="none" w:sz="0" w:space="0" w:color="auto" w:frame="1"/>
          <w:lang w:eastAsia="ru-RU"/>
        </w:rPr>
      </w:pP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5 день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bdr w:val="none" w:sz="0" w:space="0" w:color="auto" w:frame="1"/>
          <w:lang w:eastAsia="ru-RU"/>
        </w:rPr>
        <w:br/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FF9000"/>
          <w:spacing w:val="4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4E380594" wp14:editId="563AD442">
            <wp:extent cx="2533650" cy="1905000"/>
            <wp:effectExtent l="0" t="0" r="0" b="0"/>
            <wp:docPr id="1" name="Рисунок 1" descr="http://www.bel-orientir.ru/images/stories/germany/berlin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-orientir.ru/images/stories/germany/berlin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Выселение из отеля. Свободный день в </w:t>
      </w: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ПАРИЖЕ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 (самостоятельный трансфер). Поездка в парк аттракционов </w:t>
      </w: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Диснейленд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*. Вечером отправление автобуса в Германию из Диснейленда. Туристы, которые остались в Париже </w:t>
      </w:r>
      <w:proofErr w:type="gram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добираются к автобусу</w:t>
      </w:r>
      <w:proofErr w:type="gram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 самостоятельно. Ночной переезд в Берлин (~950 км).</w:t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bdr w:val="none" w:sz="0" w:space="0" w:color="auto" w:frame="1"/>
          <w:lang w:eastAsia="ru-RU"/>
        </w:rPr>
      </w:pP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6 день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bdr w:val="none" w:sz="0" w:space="0" w:color="auto" w:frame="1"/>
          <w:lang w:eastAsia="ru-RU"/>
        </w:rPr>
        <w:br/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Прибытие в </w:t>
      </w: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БЕРЛИН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. Обзорная экскурсия по Берлину с сопровождающим: 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Александрплац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, Музейный остров, главная улица Унтер-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ден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-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Линден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, Берлинская стена, Рейхстаг, Бранденбургские ворота – символ города. Свободное время и возможность посетить музеи*, берлинский зоопарк*, аквариум*… Ночлег в отеле на территории Польши.</w:t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bdr w:val="none" w:sz="0" w:space="0" w:color="auto" w:frame="1"/>
          <w:lang w:eastAsia="ru-RU"/>
        </w:rPr>
      </w:pP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7 день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bdr w:val="none" w:sz="0" w:space="0" w:color="auto" w:frame="1"/>
          <w:lang w:eastAsia="ru-RU"/>
        </w:rPr>
        <w:br/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Транзит по территории Польши (~650 км). Прибытие в Брест после 23.00. Переезд в Минск** (~370км).</w:t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Внимание!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 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</w:t>
      </w:r>
      <w:proofErr w:type="gram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.</w:t>
      </w:r>
      <w:proofErr w:type="gram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br/>
      </w: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*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 </w:t>
      </w:r>
      <w:proofErr w:type="gram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д</w:t>
      </w:r>
      <w:proofErr w:type="gram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ополнительные оплаты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br/>
      </w: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**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уточняется дополнительно</w:t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СТОИМОСТЬ ВХОДИТ:</w:t>
      </w:r>
    </w:p>
    <w:p w:rsidR="00F74327" w:rsidRPr="00F74327" w:rsidRDefault="00F74327" w:rsidP="00F74327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проживание в отелях 2-3* в</w:t>
      </w:r>
      <w:proofErr w:type="gramStart"/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2</w:t>
      </w:r>
      <w:proofErr w:type="gramEnd"/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,3 – местных номерах со всеми удобствами;</w:t>
      </w:r>
    </w:p>
    <w:p w:rsidR="00F74327" w:rsidRPr="00F74327" w:rsidRDefault="00F74327" w:rsidP="00F74327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питание – 4 завтрака в отелях;</w:t>
      </w:r>
    </w:p>
    <w:p w:rsidR="00F74327" w:rsidRPr="00F74327" w:rsidRDefault="00F74327" w:rsidP="00F74327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локальный гид в Праге;</w:t>
      </w:r>
    </w:p>
    <w:p w:rsidR="00F74327" w:rsidRPr="00F74327" w:rsidRDefault="00F74327" w:rsidP="00F74327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другие экскурсии по программе вместе с сопровождающим;</w:t>
      </w:r>
    </w:p>
    <w:p w:rsidR="00F74327" w:rsidRPr="00F74327" w:rsidRDefault="00F74327" w:rsidP="00F74327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проезд в комфортабельном автобусе.</w:t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В СТОИМОСТЬ НЕ ВХОДИТ:</w:t>
      </w:r>
    </w:p>
    <w:p w:rsidR="00F74327" w:rsidRPr="00F74327" w:rsidRDefault="00F74327" w:rsidP="00F74327">
      <w:pPr>
        <w:numPr>
          <w:ilvl w:val="0"/>
          <w:numId w:val="2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proofErr w:type="spellStart"/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виз</w:t>
      </w:r>
      <w:proofErr w:type="gramStart"/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a</w:t>
      </w:r>
      <w:proofErr w:type="gramEnd"/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+страховка</w:t>
      </w:r>
      <w:proofErr w:type="spellEnd"/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;</w:t>
      </w:r>
    </w:p>
    <w:p w:rsidR="00F74327" w:rsidRPr="00F74327" w:rsidRDefault="00F74327" w:rsidP="00F74327">
      <w:pPr>
        <w:numPr>
          <w:ilvl w:val="0"/>
          <w:numId w:val="2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proofErr w:type="gramStart"/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ж</w:t>
      </w:r>
      <w:proofErr w:type="gramEnd"/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/д билеты;</w:t>
      </w:r>
    </w:p>
    <w:p w:rsidR="00F74327" w:rsidRPr="00F74327" w:rsidRDefault="00F74327" w:rsidP="00F74327">
      <w:pPr>
        <w:numPr>
          <w:ilvl w:val="0"/>
          <w:numId w:val="2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ИНФОРМАЦИЯ ПО ДОПЛАТАМ:</w:t>
      </w:r>
    </w:p>
    <w:p w:rsidR="00F74327" w:rsidRPr="00F74327" w:rsidRDefault="00F74327" w:rsidP="00F74327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proofErr w:type="gram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•    одноместное размещение по туру – 80 €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br/>
        <w:t>•    кораблик по Сене –  12 €, до 11 лет – 5 €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br/>
        <w:t>•    поездка в Версаль – 25 € (проезд + входной билет + аудиогид), до 18 лет – 10 €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br/>
        <w:t xml:space="preserve">•    подъем на смотровую площадку </w:t>
      </w:r>
      <w:proofErr w:type="spellStart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>Монпарнас</w:t>
      </w:r>
      <w:proofErr w:type="spell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 – 13 € , до 15 лет – 9 €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br/>
        <w:t>•    Огни Парижа» – 10 €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br/>
        <w:t>•    кораблик по Влтаве в Праге (с ужином шведский стол)  – 30 € , до 14 лет  – 25 €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br/>
        <w:t>•    экскурсия «Магическая Прага» – 10 €, до 14 лет –  5</w:t>
      </w:r>
      <w:proofErr w:type="gramEnd"/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t xml:space="preserve"> €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br/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lastRenderedPageBreak/>
        <w:t>•    входной билет в Лувр (без гида) – 12 €, до 18 лет – бесплатно</w:t>
      </w:r>
      <w:r w:rsidRPr="00F74327"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  <w:br/>
        <w:t>•    ужины по программе – 100 € (для организованных групп)</w:t>
      </w:r>
    </w:p>
    <w:p w:rsidR="00F74327" w:rsidRPr="00F74327" w:rsidRDefault="00F74327" w:rsidP="00F7432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4"/>
          <w:sz w:val="20"/>
          <w:szCs w:val="20"/>
          <w:lang w:eastAsia="ru-RU"/>
        </w:rPr>
      </w:pPr>
      <w:r w:rsidRPr="00F74327">
        <w:rPr>
          <w:rFonts w:ascii="Arial" w:eastAsia="Times New Roman" w:hAnsi="Arial" w:cs="Arial"/>
          <w:i/>
          <w:iCs/>
          <w:color w:val="333333"/>
          <w:spacing w:val="4"/>
          <w:sz w:val="20"/>
          <w:szCs w:val="20"/>
          <w:bdr w:val="none" w:sz="0" w:space="0" w:color="auto" w:frame="1"/>
          <w:lang w:eastAsia="ru-RU"/>
        </w:rPr>
        <w:t>Стоимость билетов может меняться.</w:t>
      </w:r>
      <w:bookmarkStart w:id="0" w:name="_GoBack"/>
      <w:bookmarkEnd w:id="0"/>
    </w:p>
    <w:tbl>
      <w:tblPr>
        <w:tblW w:w="7435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3813"/>
        <w:gridCol w:w="1751"/>
        <w:gridCol w:w="306"/>
      </w:tblGrid>
      <w:tr w:rsidR="00F74327" w:rsidRPr="00F74327" w:rsidTr="00F74327">
        <w:tc>
          <w:tcPr>
            <w:tcW w:w="7128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заездов и стоимость тура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27.04.2015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03.05.2015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01.06.2015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07.06.2015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14.06.2015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20.06.2015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12.07.2015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18.07.2015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02.08.2015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08.08.2015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16.08.2015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22.08.2015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06.09.2015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12.09.2015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25.10.2015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31.10.2015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01.11.2015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07.11.2015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03.01.2016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09.01.2016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20.03.2016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26.03.2016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03.04.2016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09.04.2016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327" w:rsidRPr="00F74327" w:rsidTr="00F74327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02.05.2016</w:t>
            </w:r>
          </w:p>
        </w:tc>
        <w:tc>
          <w:tcPr>
            <w:tcW w:w="377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08.05.2016</w:t>
            </w:r>
          </w:p>
        </w:tc>
        <w:tc>
          <w:tcPr>
            <w:tcW w:w="173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299 €</w:t>
            </w:r>
          </w:p>
        </w:tc>
        <w:tc>
          <w:tcPr>
            <w:tcW w:w="0" w:type="auto"/>
            <w:vAlign w:val="center"/>
            <w:hideMark/>
          </w:tcPr>
          <w:p w:rsidR="00F74327" w:rsidRPr="00F74327" w:rsidRDefault="00F74327" w:rsidP="00F7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28FE" w:rsidRDefault="007A28FE" w:rsidP="00F74327"/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192"/>
    <w:multiLevelType w:val="multilevel"/>
    <w:tmpl w:val="92C6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61A61"/>
    <w:multiLevelType w:val="multilevel"/>
    <w:tmpl w:val="5680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27"/>
    <w:rsid w:val="00097D0E"/>
    <w:rsid w:val="001D001E"/>
    <w:rsid w:val="001D4A47"/>
    <w:rsid w:val="0022760F"/>
    <w:rsid w:val="002A25B5"/>
    <w:rsid w:val="002E585F"/>
    <w:rsid w:val="003916C5"/>
    <w:rsid w:val="004D7EE6"/>
    <w:rsid w:val="005024CB"/>
    <w:rsid w:val="005338C1"/>
    <w:rsid w:val="00544EFF"/>
    <w:rsid w:val="005469CD"/>
    <w:rsid w:val="00583750"/>
    <w:rsid w:val="005D0815"/>
    <w:rsid w:val="005D6844"/>
    <w:rsid w:val="00645A34"/>
    <w:rsid w:val="006F7EF8"/>
    <w:rsid w:val="007A28FE"/>
    <w:rsid w:val="007E3140"/>
    <w:rsid w:val="008159D4"/>
    <w:rsid w:val="00A720BF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74327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F7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327"/>
    <w:rPr>
      <w:b/>
      <w:bCs/>
    </w:rPr>
  </w:style>
  <w:style w:type="character" w:customStyle="1" w:styleId="apple-converted-space">
    <w:name w:val="apple-converted-space"/>
    <w:basedOn w:val="a0"/>
    <w:rsid w:val="00F74327"/>
  </w:style>
  <w:style w:type="character" w:styleId="a5">
    <w:name w:val="Emphasis"/>
    <w:basedOn w:val="a0"/>
    <w:uiPriority w:val="20"/>
    <w:qFormat/>
    <w:rsid w:val="00F743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F7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327"/>
    <w:rPr>
      <w:b/>
      <w:bCs/>
    </w:rPr>
  </w:style>
  <w:style w:type="character" w:customStyle="1" w:styleId="apple-converted-space">
    <w:name w:val="apple-converted-space"/>
    <w:basedOn w:val="a0"/>
    <w:rsid w:val="00F74327"/>
  </w:style>
  <w:style w:type="character" w:styleId="a5">
    <w:name w:val="Emphasis"/>
    <w:basedOn w:val="a0"/>
    <w:uiPriority w:val="20"/>
    <w:qFormat/>
    <w:rsid w:val="00F743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el-orientir.ru/images/stories/germany/berlin_1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Company>SanBuild &amp; 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2015-06-23T14:47:00Z</dcterms:created>
  <dcterms:modified xsi:type="dcterms:W3CDTF">2015-06-23T14:47:00Z</dcterms:modified>
</cp:coreProperties>
</file>