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1" w:rsidRDefault="008A0CC1" w:rsidP="008A0C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(сбор на станции «Дружная» в 05.00**)/Бреста (ориентировочно в 10.00). Транзит по территории РП. Позднее прибытие в отель.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ВЕНУ (~320 км).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«Золотой Штраус», Венская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бывшая зимняя резиденция династии Габсбургов,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Парламент, Ратуша, бульварное кольцо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Рингштрассе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Грабен,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Кернтнерштрассе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в. Стефана. Свободное время. Выезд из Вены. Проезд по территории Австрии (~360 км). Ночь в отеле в Альпах.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ВЕНЕЦИЮ (~220 км). Обзорная пешеходная экскурсия по городу: площадь и собор Сан-Марко, дворец Дожей, мост Риальто и др. Свободное время. Выезд из Венеции. Переезд в Тоскану (~360 км). Ночлег в отеле.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>Выезд в вечный город РИМ (~170 км). Обзорная экскурсия РИМ-ВАТИКАН: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Колизей, Императорские форумы, Капитолий, дворец Сенаторов,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Возвращение в отель. Ночь в отеле.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Выезд во ФЛОРЕНЦИЮ – столицу итальянского Возрождения (~130 км). Обзорная пешеходная экскурсия по городу: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собором Санта-Мария-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Баптистерий, церковь 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Синьории,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Веккьо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дом Данте, «Золотой мост» и др. Свободное время. Возможно посещение галереи Уффици*. Переезд в ПИЗУ*. Посещение «площади чудес», Пизанской башни (подъем на башню за доп. плату). Переезд 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Лигурийское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побережье (~315 км). Ночь в отеле.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Поездка по городам НИЦЦЕ и МОНАКО – жемчужинам Лазурного берега. Прогулка по г. НИЦЦА: знаменитая Английская набережная,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Массена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отель «Негреско», русская церковь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Николая и т.д. Посещение Княжества Монако. Пешеходная прогулка: Княжеский дворец династии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Гримальди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музей океанографии Кусто, район МОНТЕ-КАРЛО, казино Монте-Карло. Возвращение в отель.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ВЕРОНУ (~380 км). Пешеходная экскурсия по историческому центру: площадь Бра, дом Джульетты, древнеримская Арена, средневековые площади, улицы, соборы. Свободное время. Выезд из Вероны. Ночь в отеле.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НЮРНБЕРГ (~450 км) </w:t>
      </w:r>
      <w:r>
        <w:rPr>
          <w:rFonts w:ascii="Arial" w:hAnsi="Arial" w:cs="Arial"/>
          <w:color w:val="707070"/>
          <w:sz w:val="20"/>
          <w:szCs w:val="20"/>
        </w:rPr>
        <w:softHyphen/>
        <w:t xml:space="preserve">– второй по величине город Баварии с почти 1000-летней историей и уникальной архитектурой в стиле фахверк. Обзорная экскурсия по городу: рыночная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Хаупмаркт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Ратуша, церкви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Фрауенкирхе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Cв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ебальда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Cв.Лаврентия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дом-музей Альбрехта Дюрера (внешний осмотр), величественный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Кайзербург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Транзит по территории Германии (~450 км). Ночь в отеле.</w:t>
      </w:r>
    </w:p>
    <w:p w:rsidR="008A0CC1" w:rsidRDefault="008A0CC1" w:rsidP="008A0CC1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Польши (~670 км). Прибытие в Брест после 23.00, переезд в Минск (370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19"/>
    <w:multiLevelType w:val="multilevel"/>
    <w:tmpl w:val="A19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1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A0CC1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2015-06-15T08:55:00Z</dcterms:created>
  <dcterms:modified xsi:type="dcterms:W3CDTF">2015-06-15T08:55:00Z</dcterms:modified>
</cp:coreProperties>
</file>